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62F34123" w:rsidR="00022DFF" w:rsidRPr="006D2645" w:rsidRDefault="00022DFF" w:rsidP="00022DFF">
      <w:r w:rsidRPr="006D2645">
        <w:t xml:space="preserve">Broj : N </w:t>
      </w:r>
      <w:r w:rsidR="00F35D10">
        <w:t>02</w:t>
      </w:r>
      <w:r w:rsidR="00D97F96">
        <w:t>7</w:t>
      </w:r>
      <w:r w:rsidRPr="006D2645">
        <w:t>-</w:t>
      </w:r>
      <w:r w:rsidR="00D97F96">
        <w:t>62</w:t>
      </w:r>
      <w:r w:rsidRPr="006D2645">
        <w:t>-2024.</w:t>
      </w:r>
    </w:p>
    <w:p w14:paraId="78055BA4" w14:textId="5650C65F" w:rsidR="00022DFF" w:rsidRPr="006D2645" w:rsidRDefault="00022DFF" w:rsidP="00022DFF">
      <w:r w:rsidRPr="006D2645">
        <w:t xml:space="preserve">Zagreb, </w:t>
      </w:r>
      <w:r w:rsidR="00034C53">
        <w:t>31</w:t>
      </w:r>
      <w:r w:rsidRPr="005B78BF">
        <w:t>. 0</w:t>
      </w:r>
      <w:r w:rsidR="00F35D10">
        <w:t>7</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Naslov"/>
        <w:jc w:val="center"/>
        <w:rPr>
          <w:sz w:val="40"/>
          <w:szCs w:val="40"/>
        </w:rPr>
      </w:pPr>
      <w:r w:rsidRPr="006D2645">
        <w:rPr>
          <w:sz w:val="40"/>
          <w:szCs w:val="40"/>
        </w:rPr>
        <w:t>POZIV NA DOSTAVU PONUDE</w:t>
      </w:r>
    </w:p>
    <w:p w14:paraId="33994610" w14:textId="275CAF44" w:rsidR="0039568F" w:rsidRDefault="0068106A" w:rsidP="007143CC">
      <w:pPr>
        <w:pStyle w:val="Naslov"/>
        <w:jc w:val="center"/>
        <w:rPr>
          <w:sz w:val="40"/>
          <w:szCs w:val="40"/>
        </w:rPr>
      </w:pPr>
      <w:r w:rsidRPr="006D2645">
        <w:rPr>
          <w:sz w:val="40"/>
          <w:szCs w:val="40"/>
        </w:rPr>
        <w:t>ZA JEDNOSTAVNU NABAVU</w:t>
      </w:r>
    </w:p>
    <w:p w14:paraId="435C5606" w14:textId="3849DEF0" w:rsidR="004F53F7" w:rsidRPr="004F53F7" w:rsidRDefault="00D97F96" w:rsidP="004F53F7">
      <w:pPr>
        <w:jc w:val="center"/>
        <w:rPr>
          <w:sz w:val="36"/>
          <w:szCs w:val="36"/>
        </w:rPr>
      </w:pPr>
      <w:r>
        <w:rPr>
          <w:sz w:val="36"/>
          <w:szCs w:val="36"/>
        </w:rPr>
        <w:t>TEKUĆE ODRŽAVANJE GRAĐEVINSKI RADOVI</w:t>
      </w:r>
    </w:p>
    <w:p w14:paraId="0C926F9C" w14:textId="3486A4CF" w:rsidR="000A4450" w:rsidRPr="006D2645" w:rsidRDefault="000A4450" w:rsidP="004F53F7">
      <w:pPr>
        <w:spacing w:before="120"/>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213071BA"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4A00FF" w:rsidRPr="006D2645">
          <w:rPr>
            <w:rStyle w:val="Hiperveza"/>
            <w:szCs w:val="22"/>
          </w:rPr>
          <w:t>pravnik@zoo.hr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727E4012" w14:textId="1DEEBFAF" w:rsidR="006566F6" w:rsidRPr="006D2645" w:rsidRDefault="006566F6" w:rsidP="006D1249">
      <w:r>
        <w:t xml:space="preserve">Marin </w:t>
      </w:r>
      <w:proofErr w:type="spellStart"/>
      <w:r>
        <w:t>Hlupić</w:t>
      </w:r>
      <w:proofErr w:type="spellEnd"/>
      <w:r>
        <w:t xml:space="preserve">, elektronska pošta: </w:t>
      </w:r>
      <w:hyperlink r:id="rId12" w:history="1">
        <w:r w:rsidRPr="00D62A16">
          <w:rPr>
            <w:rStyle w:val="Hiperveza"/>
          </w:rPr>
          <w:t>marin.hlupic@zoo.hr</w:t>
        </w:r>
      </w:hyperlink>
      <w:r>
        <w:t xml:space="preserve">, telefon: </w:t>
      </w:r>
      <w:r w:rsidR="00F30815" w:rsidRPr="00F30815">
        <w:t>091 230 22 37</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7854E8">
      <w:pPr>
        <w:pStyle w:val="Podnaslov"/>
      </w:pPr>
      <w:r w:rsidRPr="006D2645">
        <w:t>Opis p</w:t>
      </w:r>
      <w:r w:rsidR="00033BA7" w:rsidRPr="006D2645">
        <w:t>redmet</w:t>
      </w:r>
      <w:r w:rsidRPr="006D2645">
        <w:t>a</w:t>
      </w:r>
      <w:r w:rsidR="00033BA7" w:rsidRPr="006D2645">
        <w:t xml:space="preserve"> nabave</w:t>
      </w:r>
    </w:p>
    <w:p w14:paraId="7B55E2A3" w14:textId="3E9E297F" w:rsidR="00092C8B" w:rsidRDefault="0056109E" w:rsidP="002B6A3D">
      <w:pPr>
        <w:rPr>
          <w:szCs w:val="22"/>
        </w:rPr>
      </w:pPr>
      <w:r w:rsidRPr="006D2645">
        <w:rPr>
          <w:szCs w:val="22"/>
        </w:rPr>
        <w:t>Predmet nabave</w:t>
      </w:r>
      <w:r w:rsidR="00DB477A" w:rsidRPr="006D2645">
        <w:rPr>
          <w:szCs w:val="22"/>
        </w:rPr>
        <w:t xml:space="preserve"> </w:t>
      </w:r>
      <w:r w:rsidR="00247448">
        <w:rPr>
          <w:szCs w:val="22"/>
        </w:rPr>
        <w:t>su</w:t>
      </w:r>
      <w:r w:rsidR="00092C8B" w:rsidRPr="006D2645">
        <w:rPr>
          <w:szCs w:val="22"/>
        </w:rPr>
        <w:t xml:space="preserve"> </w:t>
      </w:r>
      <w:bookmarkStart w:id="3" w:name="_Hlk172630190"/>
      <w:r w:rsidR="002B6A3D">
        <w:rPr>
          <w:szCs w:val="22"/>
        </w:rPr>
        <w:t>radovi</w:t>
      </w:r>
      <w:r w:rsidR="00034C53">
        <w:rPr>
          <w:szCs w:val="22"/>
        </w:rPr>
        <w:t xml:space="preserve"> </w:t>
      </w:r>
      <w:r w:rsidR="009864AD" w:rsidRPr="009864AD">
        <w:rPr>
          <w:b/>
          <w:bCs/>
          <w:szCs w:val="22"/>
        </w:rPr>
        <w:t>tekućeg održavanja-građevinski radovi</w:t>
      </w:r>
      <w:r w:rsidR="009864AD">
        <w:rPr>
          <w:szCs w:val="22"/>
        </w:rPr>
        <w:t xml:space="preserve"> </w:t>
      </w:r>
      <w:r w:rsidR="00034C53">
        <w:rPr>
          <w:szCs w:val="22"/>
        </w:rPr>
        <w:t>u Ustanovi Zoološki vrt Grada Zagreba, fakultetsko dobro 1.</w:t>
      </w:r>
    </w:p>
    <w:p w14:paraId="3E0AD57C" w14:textId="77777777" w:rsidR="00034C53" w:rsidRDefault="00034C53" w:rsidP="002B6A3D">
      <w:pPr>
        <w:rPr>
          <w:szCs w:val="22"/>
        </w:rPr>
      </w:pPr>
    </w:p>
    <w:bookmarkEnd w:id="3"/>
    <w:p w14:paraId="70DE46B7" w14:textId="77777777" w:rsidR="002B6A3D" w:rsidRDefault="002B6A3D" w:rsidP="002B6A3D">
      <w:pPr>
        <w:rPr>
          <w:b/>
          <w:bCs/>
          <w:szCs w:val="22"/>
        </w:rPr>
      </w:pPr>
    </w:p>
    <w:p w14:paraId="7C83D80D" w14:textId="69046262" w:rsidR="00D97F96" w:rsidRPr="00D97F96" w:rsidRDefault="002B08B0" w:rsidP="00D97F96">
      <w:pPr>
        <w:rPr>
          <w:b/>
          <w:bCs/>
          <w:szCs w:val="22"/>
        </w:rPr>
      </w:pPr>
      <w:bookmarkStart w:id="4" w:name="_Hlk160100849"/>
      <w:r>
        <w:rPr>
          <w:b/>
          <w:bCs/>
          <w:szCs w:val="22"/>
        </w:rPr>
        <w:lastRenderedPageBreak/>
        <w:t>CPV:</w:t>
      </w:r>
      <w:r w:rsidR="00D97F96" w:rsidRPr="00D97F96">
        <w:rPr>
          <w:rFonts w:ascii="Calibri" w:hAnsi="Calibri" w:cs="Calibri"/>
          <w:color w:val="000000"/>
          <w:szCs w:val="22"/>
        </w:rPr>
        <w:t xml:space="preserve"> </w:t>
      </w:r>
      <w:r w:rsidR="00D97F96" w:rsidRPr="00D97F96">
        <w:rPr>
          <w:b/>
          <w:bCs/>
          <w:szCs w:val="22"/>
        </w:rPr>
        <w:t>45260000 - Radovi na krovu i drugi posebni građevinski zanatski radovi</w:t>
      </w:r>
    </w:p>
    <w:bookmarkEnd w:id="4"/>
    <w:p w14:paraId="5E43871A" w14:textId="77777777" w:rsidR="00726F4F" w:rsidRPr="006D2645" w:rsidRDefault="00726F4F" w:rsidP="00F123E7">
      <w:pPr>
        <w:rPr>
          <w:szCs w:val="22"/>
        </w:rPr>
      </w:pPr>
    </w:p>
    <w:p w14:paraId="3FA761F9" w14:textId="6F09A43F"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0C845051" w:rsidR="00396C55" w:rsidRPr="006D2645" w:rsidRDefault="00033BA7" w:rsidP="007854E8">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68D198FC" w:rsidR="00044563"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3" w:history="1">
        <w:r w:rsidR="002C2DD6" w:rsidRPr="006D2645">
          <w:rPr>
            <w:rStyle w:val="Hiperveza"/>
          </w:rPr>
          <w:t>https://zoo.hr/2023_09_19_pravilnik-o-jednostavnoj-nabavi-procisceni-tekst/</w:t>
        </w:r>
      </w:hyperlink>
      <w:r w:rsidR="002C2DD6" w:rsidRPr="006D2645">
        <w:t xml:space="preserve">. </w:t>
      </w:r>
    </w:p>
    <w:p w14:paraId="1BA514A7" w14:textId="5DDA804D" w:rsidR="00396C55" w:rsidRDefault="00B24958" w:rsidP="007854E8">
      <w:pPr>
        <w:pStyle w:val="Podnaslov"/>
      </w:pPr>
      <w:r w:rsidRPr="006D2645">
        <w:t>OBJAVA POZIVA NA DOSTAVU PONUDE</w:t>
      </w:r>
      <w:r w:rsidR="00756B24" w:rsidRPr="006D2645">
        <w:t>:</w:t>
      </w:r>
    </w:p>
    <w:p w14:paraId="117259D4" w14:textId="6C2D7057" w:rsidR="00396C55" w:rsidRPr="006D2645" w:rsidRDefault="000C224A" w:rsidP="006D1249">
      <w:r w:rsidRPr="006D2645">
        <w:t xml:space="preserve">Ovaj poziv objavljuje se na službenoj internetskoj stranici </w:t>
      </w:r>
      <w:r w:rsidR="00396C55" w:rsidRPr="006D2645">
        <w:t>Naručitelja</w:t>
      </w:r>
      <w:bookmarkStart w:id="5" w:name="_Hlk111118575"/>
      <w:r w:rsidRPr="006D2645">
        <w:t xml:space="preserve"> </w:t>
      </w:r>
      <w:hyperlink r:id="rId14" w:history="1">
        <w:r w:rsidRPr="006D2645">
          <w:rPr>
            <w:rStyle w:val="Hiperveza"/>
            <w:szCs w:val="22"/>
          </w:rPr>
          <w:t>https://zoo.hr/jednostavna-nabava/</w:t>
        </w:r>
      </w:hyperlink>
      <w:bookmarkEnd w:id="5"/>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7B83FA88" w:rsidR="00C752C1" w:rsidRPr="006D2645" w:rsidRDefault="001C70B7" w:rsidP="007854E8">
      <w:pPr>
        <w:pStyle w:val="Podnaslov"/>
      </w:pPr>
      <w:r w:rsidRPr="006D2645">
        <w:t>PROCIJENJENA VRIJEDNOST NABAVE:</w:t>
      </w:r>
    </w:p>
    <w:p w14:paraId="04E8706F" w14:textId="6EDFCB46"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D97F96">
        <w:rPr>
          <w:rFonts w:ascii="Cambria" w:hAnsi="Cambria"/>
          <w:color w:val="000000"/>
          <w:sz w:val="22"/>
          <w:szCs w:val="22"/>
        </w:rPr>
        <w:t>2</w:t>
      </w:r>
      <w:r w:rsidR="0098188B">
        <w:rPr>
          <w:rFonts w:ascii="Cambria" w:hAnsi="Cambria"/>
          <w:color w:val="000000"/>
          <w:sz w:val="22"/>
          <w:szCs w:val="22"/>
        </w:rPr>
        <w:t>6</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Podnaslov"/>
        <w:rPr>
          <w:rStyle w:val="Istaknutareferenca"/>
          <w:b/>
          <w:bCs/>
          <w:smallCaps/>
        </w:rPr>
      </w:pPr>
      <w:r w:rsidRPr="006D2645">
        <w:rPr>
          <w:rStyle w:val="Istaknutareferenca"/>
        </w:rPr>
        <w:t>TEHNIČKE SPECIFIKACIJE</w:t>
      </w:r>
    </w:p>
    <w:p w14:paraId="3B55FC0C" w14:textId="07456518" w:rsidR="002F77EF" w:rsidRPr="006D2645" w:rsidRDefault="002F77EF" w:rsidP="00D02309">
      <w:pPr>
        <w:pStyle w:val="Bezproreda"/>
        <w:jc w:val="both"/>
        <w:rPr>
          <w:rFonts w:ascii="Cambria" w:hAnsi="Cambria"/>
          <w:color w:val="000000"/>
          <w:sz w:val="22"/>
          <w:szCs w:val="22"/>
        </w:rPr>
      </w:pPr>
      <w:r w:rsidRPr="006D2645">
        <w:rPr>
          <w:rFonts w:ascii="Cambria" w:hAnsi="Cambria"/>
          <w:color w:val="000000"/>
          <w:sz w:val="22"/>
          <w:szCs w:val="22"/>
        </w:rPr>
        <w:t xml:space="preserve">Tehničkim specifikacijama utvrđuju se tražene minimalne karakteristike </w:t>
      </w:r>
      <w:r w:rsidR="00202DD4">
        <w:rPr>
          <w:rFonts w:ascii="Cambria" w:hAnsi="Cambria"/>
          <w:color w:val="000000"/>
          <w:sz w:val="22"/>
          <w:szCs w:val="22"/>
        </w:rPr>
        <w:t>usluge</w:t>
      </w:r>
      <w:r w:rsidRPr="006D2645">
        <w:rPr>
          <w:rFonts w:ascii="Cambria" w:hAnsi="Cambria"/>
          <w:color w:val="000000"/>
          <w:sz w:val="22"/>
          <w:szCs w:val="22"/>
        </w:rPr>
        <w:t xml:space="preserve"> koja se nabavlja, a određene su u </w:t>
      </w:r>
      <w:r w:rsidR="00D02309" w:rsidRPr="006D2645">
        <w:rPr>
          <w:rFonts w:ascii="Cambria" w:hAnsi="Cambria"/>
          <w:color w:val="000000"/>
          <w:sz w:val="22"/>
          <w:szCs w:val="22"/>
        </w:rPr>
        <w:t>Troškovni</w:t>
      </w:r>
      <w:r w:rsidR="006355DE">
        <w:rPr>
          <w:rFonts w:ascii="Cambria" w:hAnsi="Cambria"/>
          <w:color w:val="000000"/>
          <w:sz w:val="22"/>
          <w:szCs w:val="22"/>
        </w:rPr>
        <w:t>ku</w:t>
      </w:r>
      <w:r w:rsidR="00D02309" w:rsidRPr="006D2645">
        <w:rPr>
          <w:rFonts w:ascii="Cambria" w:hAnsi="Cambria"/>
          <w:color w:val="000000"/>
          <w:sz w:val="22"/>
          <w:szCs w:val="22"/>
        </w:rPr>
        <w:t>.</w:t>
      </w:r>
    </w:p>
    <w:p w14:paraId="02C175B1" w14:textId="4E8AD371" w:rsidR="002F77EF" w:rsidRPr="006D2645" w:rsidRDefault="002319C0" w:rsidP="007854E8">
      <w:pPr>
        <w:pStyle w:val="Podnaslov"/>
        <w:rPr>
          <w:rStyle w:val="Istaknutareferenca"/>
          <w:b/>
          <w:bCs/>
          <w:smallCaps/>
        </w:rPr>
      </w:pPr>
      <w:r w:rsidRPr="006D2645">
        <w:rPr>
          <w:rStyle w:val="Istaknutareferenca"/>
        </w:rPr>
        <w:t>TROŠKOVNI</w:t>
      </w:r>
      <w:r w:rsidR="006355DE">
        <w:rPr>
          <w:rStyle w:val="Istaknutareferenca"/>
        </w:rPr>
        <w:t>K</w:t>
      </w:r>
    </w:p>
    <w:p w14:paraId="52CCA9EB" w14:textId="71DE3767" w:rsidR="002F77EF" w:rsidRDefault="002F77EF" w:rsidP="006D1249">
      <w:r w:rsidRPr="006D2645">
        <w:t>Troškovn</w:t>
      </w:r>
      <w:r w:rsidR="008D14E8" w:rsidRPr="006D2645">
        <w:t>i</w:t>
      </w:r>
      <w:r w:rsidR="006355DE">
        <w:t>k</w:t>
      </w:r>
      <w:r w:rsidR="00311985" w:rsidRPr="006D2645">
        <w:t xml:space="preserve"> </w:t>
      </w:r>
      <w:r w:rsidRPr="006D2645">
        <w:t>se nalaz</w:t>
      </w:r>
      <w:r w:rsidR="00034C53">
        <w:t>e</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5005689"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6" w:name="_Hlk125541019"/>
      <w:r w:rsidR="008D14E8" w:rsidRPr="006D2645">
        <w:t>Poziva na dostavu ponuda</w:t>
      </w:r>
      <w:r w:rsidRPr="006D2645">
        <w:t xml:space="preserve"> </w:t>
      </w:r>
      <w:bookmarkEnd w:id="6"/>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58500487" w:rsidR="002F77EF" w:rsidRPr="006D2645" w:rsidRDefault="002319C0" w:rsidP="007854E8">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staknutareferenca"/>
          <w:caps w:val="0"/>
          <w:color w:val="auto"/>
        </w:rPr>
      </w:pPr>
      <w:r w:rsidRPr="006D2645">
        <w:t>Zagreb, Fakultetsko dobro 1</w:t>
      </w:r>
      <w:r w:rsidR="00F35D10">
        <w:t xml:space="preserve">. </w:t>
      </w:r>
    </w:p>
    <w:p w14:paraId="6EE4D8BC" w14:textId="70F7C91B" w:rsidR="002F77EF" w:rsidRPr="006D2645" w:rsidRDefault="002319C0" w:rsidP="007854E8">
      <w:pPr>
        <w:pStyle w:val="Podnaslov"/>
        <w:rPr>
          <w:rStyle w:val="Istaknutareferenca"/>
        </w:rPr>
      </w:pPr>
      <w:bookmarkStart w:id="7" w:name="_Hlk101769138"/>
      <w:r w:rsidRPr="006D2645">
        <w:rPr>
          <w:rStyle w:val="Istaknutareferenca"/>
        </w:rPr>
        <w:t>ROK POČETKA I ZAVRŠETKA IZVRŠENJA UGOVORA</w:t>
      </w:r>
    </w:p>
    <w:p w14:paraId="2A44D616" w14:textId="4D5C3BFE"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1B6A3D">
        <w:t>primitka pisanog Ugovora</w:t>
      </w:r>
      <w:r w:rsidRPr="006566F6">
        <w:t>.</w:t>
      </w:r>
    </w:p>
    <w:p w14:paraId="4E1EAAAE" w14:textId="77777777" w:rsidR="006566F6" w:rsidRDefault="006566F6" w:rsidP="006566F6"/>
    <w:p w14:paraId="0CE95575" w14:textId="0B027CC3" w:rsidR="00CE3AC9" w:rsidRPr="00CE3AC9" w:rsidRDefault="006566F6" w:rsidP="00BA5855">
      <w:r w:rsidRPr="006566F6">
        <w:t xml:space="preserve">Rok završetka: </w:t>
      </w:r>
      <w:r w:rsidR="00113A18">
        <w:t>2</w:t>
      </w:r>
      <w:r w:rsidRPr="00BC5914">
        <w:t xml:space="preserve"> mjeseca od dana početka izvršenja ugovora</w:t>
      </w:r>
      <w:r w:rsidR="002B6A3D" w:rsidRPr="00BC5914">
        <w:t>.</w:t>
      </w:r>
    </w:p>
    <w:bookmarkEnd w:id="7"/>
    <w:p w14:paraId="0677715E" w14:textId="6C532C0E" w:rsidR="002319C0" w:rsidRPr="006D2645" w:rsidRDefault="002319C0" w:rsidP="007854E8">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7854E8">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Podnaslov"/>
        <w:rPr>
          <w:rStyle w:val="Istaknutareferenca"/>
        </w:rPr>
      </w:pPr>
      <w:r w:rsidRPr="006D2645">
        <w:rPr>
          <w:rStyle w:val="Istaknutareferenca"/>
        </w:rPr>
        <w:t xml:space="preserve">CIJENA PONUDE: </w:t>
      </w:r>
    </w:p>
    <w:p w14:paraId="7798ABE3" w14:textId="08357C2C" w:rsidR="00DE6BF4" w:rsidRDefault="00DE6BF4" w:rsidP="006D1249">
      <w:r>
        <w:t>Cijena ponude treba predstavljati zbroj iznos</w:t>
      </w:r>
      <w:r w:rsidR="0098188B">
        <w:t>a</w:t>
      </w:r>
      <w:r>
        <w:t xml:space="preserve"> </w:t>
      </w:r>
      <w:r w:rsidR="0098188B">
        <w:t>iz</w:t>
      </w:r>
      <w:r>
        <w:t xml:space="preserve"> oba u potpunosti ispunjenja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6D2C1D03" w14:textId="21C798A7" w:rsidR="002319C0" w:rsidRPr="006D2645" w:rsidRDefault="00392E2C" w:rsidP="007854E8">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Podnaslov"/>
      </w:pPr>
      <w:r w:rsidRPr="006D2645">
        <w:t>OBVEZNI SADRŽAJ PONUDE:</w:t>
      </w:r>
    </w:p>
    <w:p w14:paraId="17DA4DBA" w14:textId="2CE48827" w:rsidR="00490EDF" w:rsidRPr="006D2645" w:rsidRDefault="00490EDF" w:rsidP="002C662A">
      <w:pPr>
        <w:numPr>
          <w:ilvl w:val="0"/>
          <w:numId w:val="4"/>
        </w:numPr>
        <w:ind w:left="426" w:hanging="426"/>
      </w:pPr>
      <w:r w:rsidRPr="006D2645">
        <w:t>Ponudbeni list</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8"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iperveza"/>
          <w:color w:val="auto"/>
        </w:rPr>
        <w:t>https://zoo.hr/jednostavna-nabava/</w:t>
      </w:r>
      <w:r w:rsidR="0074062F" w:rsidRPr="006D2645">
        <w:fldChar w:fldCharType="end"/>
      </w:r>
      <w:bookmarkEnd w:id="8"/>
      <w:r w:rsidR="0074062F" w:rsidRPr="006D2645">
        <w:t xml:space="preserve"> .</w:t>
      </w:r>
      <w:r w:rsidR="00D02309" w:rsidRPr="006D2645">
        <w:rPr>
          <w:rFonts w:ascii="Times New Roman" w:hAnsi="Times New Roman"/>
          <w:szCs w:val="22"/>
        </w:rPr>
        <w:t xml:space="preserve"> </w:t>
      </w:r>
      <w:r w:rsidR="00D02309"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0CBCAF3" w14:textId="0971F91F" w:rsidR="001B6A3D" w:rsidRPr="00BA5855" w:rsidRDefault="001B6A3D" w:rsidP="002C662A">
      <w:pPr>
        <w:numPr>
          <w:ilvl w:val="0"/>
          <w:numId w:val="4"/>
        </w:numPr>
        <w:ind w:left="426" w:hanging="426"/>
      </w:pPr>
      <w:r>
        <w:t>Troškovni</w:t>
      </w:r>
      <w:r w:rsidR="006355DE">
        <w:t>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66DD7F4F"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9" w:name="_Hlk148602928"/>
      <w:r w:rsidR="00D97F96">
        <w:t>TEKUĆE ODRŽAVANJE GRAĐEVINSKI RADOVI</w:t>
      </w:r>
      <w:r w:rsidR="00CE3AC9">
        <w:t>“</w:t>
      </w:r>
      <w:r w:rsidR="00B40F9C" w:rsidRPr="006D2645">
        <w:t xml:space="preserve"> </w:t>
      </w:r>
      <w:bookmarkEnd w:id="9"/>
      <w:r w:rsidRPr="006D2645">
        <w:t xml:space="preserve">na mail </w:t>
      </w:r>
      <w:hyperlink r:id="rId15"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7854E8">
      <w:pPr>
        <w:pStyle w:val="Podnaslov"/>
      </w:pPr>
      <w:r w:rsidRPr="006D2645">
        <w:t>ROK ZA DOSTAVU PONUDE</w:t>
      </w:r>
    </w:p>
    <w:p w14:paraId="75C56B30" w14:textId="23503D47" w:rsidR="00FF1BE2" w:rsidRPr="006D2645" w:rsidRDefault="00FF1BE2" w:rsidP="006D1249">
      <w:r w:rsidRPr="006D2645">
        <w:t xml:space="preserve">Rok za dostavu ponude je </w:t>
      </w:r>
      <w:r w:rsidR="00B75DBD">
        <w:rPr>
          <w:b/>
          <w:bCs/>
        </w:rPr>
        <w:t>9</w:t>
      </w:r>
      <w:r w:rsidR="00EF4DA8">
        <w:rPr>
          <w:b/>
          <w:bCs/>
        </w:rPr>
        <w:t>.0</w:t>
      </w:r>
      <w:r w:rsidR="005747B2">
        <w:rPr>
          <w:b/>
          <w:bCs/>
        </w:rPr>
        <w:t>8</w:t>
      </w:r>
      <w:r w:rsidR="00710462" w:rsidRPr="00564318">
        <w:rPr>
          <w:b/>
          <w:bCs/>
        </w:rPr>
        <w:t>.</w:t>
      </w:r>
      <w:r w:rsidR="0024381F" w:rsidRPr="00564318">
        <w:rPr>
          <w:b/>
          <w:bCs/>
        </w:rPr>
        <w:t>202</w:t>
      </w:r>
      <w:r w:rsidR="007A57BF" w:rsidRPr="00564318">
        <w:rPr>
          <w:b/>
          <w:bCs/>
        </w:rPr>
        <w:t>4</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7854E8">
      <w:pPr>
        <w:pStyle w:val="Podnaslov"/>
      </w:pPr>
      <w:r w:rsidRPr="006D2645">
        <w:t>Jamstvo za uredno ispunjenje ugovora o jednostavnoj nabavi</w:t>
      </w:r>
    </w:p>
    <w:p w14:paraId="2C6CAB83" w14:textId="77777777" w:rsidR="000D3666" w:rsidRPr="006D2645" w:rsidRDefault="000D3666" w:rsidP="006D1249">
      <w:bookmarkStart w:id="10"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1" w:name="_Hlk118273649"/>
      <w:r w:rsidRPr="006D2645">
        <w:t xml:space="preserve">u obliku zadužnice ovjerene po javnom bilježniku. </w:t>
      </w:r>
      <w:bookmarkEnd w:id="11"/>
      <w:r w:rsidRPr="006D2645">
        <w:t>Jamstveni rok teče od dana potpisa ugovora do njegovog potpunog izvršenja.</w:t>
      </w:r>
    </w:p>
    <w:bookmarkEnd w:id="10"/>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2"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2"/>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3BC66405" w:rsidR="00FF1BE2" w:rsidRPr="006D2645" w:rsidRDefault="00CB7D21" w:rsidP="007854E8">
      <w:pPr>
        <w:pStyle w:val="Podnaslov"/>
      </w:pPr>
      <w:r w:rsidRPr="006D2645">
        <w:t xml:space="preserve">OSTALO </w:t>
      </w:r>
    </w:p>
    <w:p w14:paraId="75C8EFA6" w14:textId="5FEE2399" w:rsidR="00466561" w:rsidRPr="006D2645" w:rsidRDefault="00630AA6" w:rsidP="006D1249">
      <w:r>
        <w:rPr>
          <w:b/>
          <w:bCs/>
        </w:rPr>
        <w:t xml:space="preserve">19.1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6"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38848F0C" w:rsidR="0092037A" w:rsidRPr="006D2645" w:rsidRDefault="00FE18E9" w:rsidP="006D1249">
      <w:r w:rsidRPr="00FE18E9">
        <w:rPr>
          <w:b/>
          <w:bCs/>
        </w:rPr>
        <w:t>19.2.</w:t>
      </w:r>
      <w:r>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09563ADA" w:rsidR="00CC6F73" w:rsidRPr="00630AA6" w:rsidRDefault="00630AA6" w:rsidP="006D1249">
      <w:pPr>
        <w:rPr>
          <w:b/>
          <w:bCs/>
        </w:rPr>
      </w:pPr>
      <w:bookmarkStart w:id="13" w:name="_Hlk109655937"/>
      <w:r>
        <w:rPr>
          <w:b/>
          <w:bCs/>
        </w:rPr>
        <w:t>19.</w:t>
      </w:r>
      <w:r w:rsidR="00FE18E9">
        <w:rPr>
          <w:b/>
          <w:bCs/>
        </w:rPr>
        <w:t>3</w:t>
      </w:r>
      <w:r>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7"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8"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4"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4"/>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3"/>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9"/>
      <w:footerReference w:type="default" r:id="rId20"/>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8"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5ACB6700"/>
    <w:multiLevelType w:val="hybridMultilevel"/>
    <w:tmpl w:val="A378B20A"/>
    <w:lvl w:ilvl="0" w:tplc="CCDC8E38">
      <w:start w:val="1"/>
      <w:numFmt w:val="decimal"/>
      <w:pStyle w:val="Podnaslov"/>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3"/>
  </w:num>
  <w:num w:numId="3" w16cid:durableId="1202590838">
    <w:abstractNumId w:val="2"/>
  </w:num>
  <w:num w:numId="4" w16cid:durableId="1141340396">
    <w:abstractNumId w:val="9"/>
  </w:num>
  <w:num w:numId="5" w16cid:durableId="207492929">
    <w:abstractNumId w:val="12"/>
  </w:num>
  <w:num w:numId="6" w16cid:durableId="1943175006">
    <w:abstractNumId w:val="10"/>
  </w:num>
  <w:num w:numId="7" w16cid:durableId="1242065794">
    <w:abstractNumId w:val="16"/>
  </w:num>
  <w:num w:numId="8" w16cid:durableId="1864054329">
    <w:abstractNumId w:val="20"/>
  </w:num>
  <w:num w:numId="9" w16cid:durableId="1661083638">
    <w:abstractNumId w:val="15"/>
  </w:num>
  <w:num w:numId="10" w16cid:durableId="35084318">
    <w:abstractNumId w:val="18"/>
  </w:num>
  <w:num w:numId="11" w16cid:durableId="2134054941">
    <w:abstractNumId w:val="17"/>
  </w:num>
  <w:num w:numId="12" w16cid:durableId="137456497">
    <w:abstractNumId w:val="6"/>
  </w:num>
  <w:num w:numId="13" w16cid:durableId="317271720">
    <w:abstractNumId w:val="22"/>
  </w:num>
  <w:num w:numId="14" w16cid:durableId="947082428">
    <w:abstractNumId w:val="11"/>
  </w:num>
  <w:num w:numId="15" w16cid:durableId="1886335049">
    <w:abstractNumId w:val="3"/>
  </w:num>
  <w:num w:numId="16" w16cid:durableId="1696034799">
    <w:abstractNumId w:val="24"/>
  </w:num>
  <w:num w:numId="17" w16cid:durableId="1940404245">
    <w:abstractNumId w:val="13"/>
  </w:num>
  <w:num w:numId="18" w16cid:durableId="1263993326">
    <w:abstractNumId w:val="14"/>
  </w:num>
  <w:num w:numId="19" w16cid:durableId="1166163483">
    <w:abstractNumId w:val="21"/>
  </w:num>
  <w:num w:numId="20" w16cid:durableId="2089955923">
    <w:abstractNumId w:val="7"/>
  </w:num>
  <w:num w:numId="21" w16cid:durableId="397213727">
    <w:abstractNumId w:val="4"/>
  </w:num>
  <w:num w:numId="22" w16cid:durableId="1420516443">
    <w:abstractNumId w:val="19"/>
  </w:num>
  <w:num w:numId="23" w16cid:durableId="811092650">
    <w:abstractNumId w:val="1"/>
  </w:num>
  <w:num w:numId="24" w16cid:durableId="2077165201">
    <w:abstractNumId w:val="8"/>
  </w:num>
  <w:num w:numId="25" w16cid:durableId="136420607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PodnaslovChar">
    <w:name w:val="Podnaslov Char"/>
    <w:basedOn w:val="Zadanifontodlomka"/>
    <w:link w:val="Podnaslov"/>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2023_09_19_pravilnik-o-jednostavnoj-nabavi-procisceni-tekst/" TargetMode="External"/><Relationship Id="rId18"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in.hlupic@zoo.hr" TargetMode="External"/><Relationship Id="rId17" Type="http://schemas.openxmlformats.org/officeDocument/2006/relationships/hyperlink" Target="https://eur-lex.europa.eu/legal-content/HR/TXT/?uri=uriserv%3AOJ.L_.2022.111.01.0070.01.HRV&amp;toc=OJ%3AL%3A2022%3A111%3ATOC" TargetMode="External"/><Relationship Id="rId2" Type="http://schemas.openxmlformats.org/officeDocument/2006/relationships/numbering" Target="numbering.xml"/><Relationship Id="rId16" Type="http://schemas.openxmlformats.org/officeDocument/2006/relationships/hyperlink" Target="https://zoo.hr/jednostavna-nabav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mailto:nabava@zoo.hr" TargetMode="External"/><Relationship Id="rId10" Type="http://schemas.openxmlformats.org/officeDocument/2006/relationships/hyperlink" Target="mailto:pravnik@zoo.h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zoo.hr/jednostavna-nabav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7</Pages>
  <Words>2765</Words>
  <Characters>15761</Characters>
  <Application>Microsoft Office Word</Application>
  <DocSecurity>0</DocSecurity>
  <Lines>131</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18490</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45</cp:revision>
  <cp:lastPrinted>2024-02-29T11:28:00Z</cp:lastPrinted>
  <dcterms:created xsi:type="dcterms:W3CDTF">2024-01-16T14:29:00Z</dcterms:created>
  <dcterms:modified xsi:type="dcterms:W3CDTF">2024-08-01T10:34:00Z</dcterms:modified>
</cp:coreProperties>
</file>